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40" w:lineRule="exact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仿宋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Times New Roman"/>
          <w:b/>
          <w:bCs/>
          <w:sz w:val="44"/>
          <w:szCs w:val="44"/>
          <w:lang w:val="en-US" w:eastAsia="zh-CN"/>
        </w:rPr>
        <w:t>科兹明斯基大学简介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  <w:t>科兹明斯基大学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（Kozminski University）</w:t>
      </w:r>
      <w:r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  <w:t>创建于1993年，是一所国际知名的商学院，也是中欧和东欧地区唯一获得AACSB、EQUIS和AMBA三重国际认证的商学院。在FT（英国金融时报）排名中，位居欧洲商学院排名第64位（2017年），是中东欧排名第一的私立商学院，实力位居波兰商学院榜首。其中全球金融硕士排名全球第17位（2018年），全球管理硕士排列第42名（2016年），EMBA排列第68名（2017年）。该校提供在工商管理和金融领域被国际广泛认可的工商管理学士、理学硕士学位、工商管理硕士学位和博士学位，学术支柱是管理学、经济学、商法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  <w:t>国际合作方面，科兹明斯基大学已与全球200多所大学和研究机构签订双边合作协议。目前在校生40%左右的学生为国际生，国际化程度很高。近些年来KU特别重视发展与亚洲地区，特别是中国高校的合作。目前合作的中国高校（含ERASMUS+和双边协议）包括中欧国际商学院、上海交通大学、同济大学、中山大学、上海大学等内地高校，以及香港理工大学、香港科技大学、香港浸会大学等高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2AF2"/>
    <w:rsid w:val="557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2020-11-16T09:43:00Z</dcterms:created>
  <dc:creator>洪胖</dc:creator>
  <cp:lastModifiedBy>洪胖</cp:lastModifiedBy>
  <dcterms:modified xsi:type="dcterms:W3CDTF">2020-11-16T09:43:16Z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